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31" w:tblpY="2493"/>
        <w:tblOverlap w:val="never"/>
        <w:tblW w:w="496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737"/>
        <w:gridCol w:w="10001"/>
        <w:gridCol w:w="935"/>
      </w:tblGrid>
      <w:tr w14:paraId="743B8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499" w:type="pct"/>
            <w:vAlign w:val="center"/>
          </w:tcPr>
          <w:p w14:paraId="4F035666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评审因素</w:t>
            </w:r>
          </w:p>
        </w:tc>
        <w:tc>
          <w:tcPr>
            <w:tcW w:w="4168" w:type="pct"/>
            <w:gridSpan w:val="2"/>
            <w:vAlign w:val="center"/>
          </w:tcPr>
          <w:p w14:paraId="1ABAC0A7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评审标准</w:t>
            </w:r>
          </w:p>
        </w:tc>
        <w:tc>
          <w:tcPr>
            <w:tcW w:w="332" w:type="pct"/>
            <w:vAlign w:val="center"/>
          </w:tcPr>
          <w:p w14:paraId="3CB9AA56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得分</w:t>
            </w:r>
          </w:p>
        </w:tc>
      </w:tr>
      <w:tr w14:paraId="42FAB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99" w:type="pct"/>
            <w:vAlign w:val="center"/>
          </w:tcPr>
          <w:p w14:paraId="6E564B70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分值构成</w:t>
            </w:r>
          </w:p>
        </w:tc>
        <w:tc>
          <w:tcPr>
            <w:tcW w:w="4168" w:type="pct"/>
            <w:gridSpan w:val="2"/>
            <w:vAlign w:val="center"/>
          </w:tcPr>
          <w:p w14:paraId="50F6F859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技术部分50.0分，商务部分20.0分，报价得分30.0分</w:t>
            </w:r>
          </w:p>
        </w:tc>
        <w:tc>
          <w:tcPr>
            <w:tcW w:w="332" w:type="pct"/>
            <w:vAlign w:val="center"/>
          </w:tcPr>
          <w:p w14:paraId="269E1D30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</w:tr>
      <w:tr w14:paraId="5326B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Merge w:val="restart"/>
            <w:vAlign w:val="center"/>
          </w:tcPr>
          <w:p w14:paraId="67A38338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技术部分</w:t>
            </w:r>
          </w:p>
          <w:p w14:paraId="1F931BD6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（50分）</w:t>
            </w:r>
          </w:p>
        </w:tc>
        <w:tc>
          <w:tcPr>
            <w:tcW w:w="617" w:type="pct"/>
            <w:vAlign w:val="center"/>
          </w:tcPr>
          <w:p w14:paraId="4E7DB229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技术评分</w:t>
            </w:r>
          </w:p>
          <w:p w14:paraId="61819563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（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27</w:t>
            </w:r>
            <w:r>
              <w:rPr>
                <w:rFonts w:hint="eastAsia" w:eastAsia="仿宋_GB2312"/>
                <w:bCs/>
                <w:kern w:val="0"/>
                <w:sz w:val="24"/>
              </w:rPr>
              <w:t>分）</w:t>
            </w:r>
          </w:p>
        </w:tc>
        <w:tc>
          <w:tcPr>
            <w:tcW w:w="3550" w:type="pct"/>
            <w:vAlign w:val="center"/>
          </w:tcPr>
          <w:p w14:paraId="014971DB">
            <w:pPr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详见《附件1:采购“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电缆</w:t>
            </w:r>
            <w:r>
              <w:rPr>
                <w:rFonts w:hint="eastAsia" w:eastAsia="仿宋_GB2312"/>
                <w:bCs/>
                <w:kern w:val="0"/>
                <w:sz w:val="24"/>
              </w:rPr>
              <w:t>”参数及需求响应表》，全部响应的得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27</w:t>
            </w:r>
            <w:r>
              <w:rPr>
                <w:rFonts w:hint="eastAsia" w:eastAsia="仿宋_GB2312"/>
                <w:bCs/>
                <w:kern w:val="0"/>
                <w:sz w:val="24"/>
              </w:rPr>
              <w:t>分。每项不响应减“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eastAsia="仿宋_GB2312"/>
                <w:bCs/>
                <w:kern w:val="0"/>
                <w:sz w:val="24"/>
              </w:rPr>
              <w:t>”分，减到0分为止。本部分</w:t>
            </w:r>
            <w:bookmarkStart w:id="0" w:name="_GoBack"/>
            <w:bookmarkEnd w:id="0"/>
            <w:r>
              <w:rPr>
                <w:rFonts w:hint="eastAsia" w:eastAsia="仿宋_GB2312"/>
                <w:bCs/>
                <w:kern w:val="0"/>
                <w:sz w:val="24"/>
              </w:rPr>
              <w:t>评分内容为客观分，评审专家评分须一致。</w:t>
            </w:r>
          </w:p>
        </w:tc>
        <w:tc>
          <w:tcPr>
            <w:tcW w:w="332" w:type="pct"/>
          </w:tcPr>
          <w:p w14:paraId="2E484E06">
            <w:pPr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14:paraId="0C2A8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Merge w:val="continue"/>
            <w:vAlign w:val="center"/>
          </w:tcPr>
          <w:p w14:paraId="7F658D55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617" w:type="pct"/>
            <w:vAlign w:val="center"/>
          </w:tcPr>
          <w:p w14:paraId="48403598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质量保证措施</w:t>
            </w:r>
          </w:p>
          <w:p w14:paraId="44FFDED1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（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12</w:t>
            </w:r>
            <w:r>
              <w:rPr>
                <w:rFonts w:hint="eastAsia" w:eastAsia="仿宋_GB2312"/>
                <w:bCs/>
                <w:kern w:val="0"/>
                <w:sz w:val="24"/>
              </w:rPr>
              <w:t>分）</w:t>
            </w:r>
          </w:p>
        </w:tc>
        <w:tc>
          <w:tcPr>
            <w:tcW w:w="3550" w:type="pct"/>
            <w:vAlign w:val="center"/>
          </w:tcPr>
          <w:p w14:paraId="7B767451">
            <w:pPr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投报人质量管理体系健全，技术支持有保障，人员安排合理，能够在服务期内高质量完成采购要求。优秀的，得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12</w:t>
            </w:r>
            <w:r>
              <w:rPr>
                <w:rFonts w:hint="eastAsia" w:eastAsia="仿宋_GB2312"/>
                <w:bCs/>
                <w:kern w:val="0"/>
                <w:sz w:val="24"/>
              </w:rPr>
              <w:t>分；良好的，得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eastAsia="仿宋_GB2312"/>
                <w:bCs/>
                <w:kern w:val="0"/>
                <w:sz w:val="24"/>
              </w:rPr>
              <w:t>分；一般的，得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eastAsia="仿宋_GB2312"/>
                <w:bCs/>
                <w:kern w:val="0"/>
                <w:sz w:val="24"/>
              </w:rPr>
              <w:t>分；不提供0分。</w:t>
            </w:r>
          </w:p>
        </w:tc>
        <w:tc>
          <w:tcPr>
            <w:tcW w:w="332" w:type="pct"/>
          </w:tcPr>
          <w:p w14:paraId="11CC1571">
            <w:pPr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14:paraId="1E32B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Merge w:val="continue"/>
            <w:vAlign w:val="center"/>
          </w:tcPr>
          <w:p w14:paraId="76A00023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617" w:type="pct"/>
            <w:vAlign w:val="center"/>
          </w:tcPr>
          <w:p w14:paraId="11F0ED92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服务承诺</w:t>
            </w:r>
          </w:p>
          <w:p w14:paraId="6DF0C837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（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eastAsia="仿宋_GB2312"/>
                <w:bCs/>
                <w:kern w:val="0"/>
                <w:sz w:val="24"/>
              </w:rPr>
              <w:t>分）</w:t>
            </w:r>
          </w:p>
        </w:tc>
        <w:tc>
          <w:tcPr>
            <w:tcW w:w="3550" w:type="pct"/>
            <w:vAlign w:val="center"/>
          </w:tcPr>
          <w:p w14:paraId="40790EF2">
            <w:pPr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投报人须提供沟通机制，内容包括：1.服务人员安排，2.沟通方案，要求有专人定期沟通、配合。优秀的，得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eastAsia="仿宋_GB2312"/>
                <w:bCs/>
                <w:kern w:val="0"/>
                <w:sz w:val="24"/>
              </w:rPr>
              <w:t>分；良好的，得7分；一般的，得</w:t>
            </w:r>
            <w:r>
              <w:rPr>
                <w:rFonts w:hint="eastAsia" w:eastAsia="仿宋_GB2312"/>
                <w:bCs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eastAsia="仿宋_GB2312"/>
                <w:bCs/>
                <w:kern w:val="0"/>
                <w:sz w:val="24"/>
              </w:rPr>
              <w:t>分；不提供得0分。</w:t>
            </w:r>
          </w:p>
        </w:tc>
        <w:tc>
          <w:tcPr>
            <w:tcW w:w="332" w:type="pct"/>
          </w:tcPr>
          <w:p w14:paraId="51BEB29E">
            <w:pPr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14:paraId="06DC4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99" w:type="pct"/>
            <w:vMerge w:val="restart"/>
            <w:vAlign w:val="center"/>
          </w:tcPr>
          <w:p w14:paraId="780DD88F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商务部分</w:t>
            </w:r>
          </w:p>
          <w:p w14:paraId="577DCA77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（20分）</w:t>
            </w:r>
          </w:p>
        </w:tc>
        <w:tc>
          <w:tcPr>
            <w:tcW w:w="617" w:type="pct"/>
            <w:vAlign w:val="center"/>
          </w:tcPr>
          <w:p w14:paraId="443925D7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基本情况</w:t>
            </w:r>
          </w:p>
          <w:p w14:paraId="4B45F2DE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（5分）</w:t>
            </w:r>
          </w:p>
        </w:tc>
        <w:tc>
          <w:tcPr>
            <w:tcW w:w="3550" w:type="pct"/>
            <w:vAlign w:val="center"/>
          </w:tcPr>
          <w:p w14:paraId="09660296">
            <w:pPr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资质情况(承担专业资质等)，拟投入本项目团队主要成员情况及参与过相关项目的资料，需提供人员名册，必须保证后续参与该项工作。优秀的，得5分；良好的，得3分；一般得1分；不提供得0分。</w:t>
            </w:r>
          </w:p>
        </w:tc>
        <w:tc>
          <w:tcPr>
            <w:tcW w:w="332" w:type="pct"/>
          </w:tcPr>
          <w:p w14:paraId="56D0A87B">
            <w:pPr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14:paraId="0F0EA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499" w:type="pct"/>
            <w:vMerge w:val="continue"/>
            <w:vAlign w:val="center"/>
          </w:tcPr>
          <w:p w14:paraId="12C22445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617" w:type="pct"/>
            <w:vAlign w:val="center"/>
          </w:tcPr>
          <w:p w14:paraId="47C5C30A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项目业绩</w:t>
            </w:r>
          </w:p>
          <w:p w14:paraId="590BE33A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（10分）</w:t>
            </w:r>
          </w:p>
        </w:tc>
        <w:tc>
          <w:tcPr>
            <w:tcW w:w="3550" w:type="pct"/>
            <w:vAlign w:val="center"/>
          </w:tcPr>
          <w:p w14:paraId="717C6160">
            <w:pPr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以投报人名义签订的类似项目，每提供一个类似项目得2分，本项满分10分。 注：以上须提供项目合同的复印件并盖投报人公章，项目合同复印件应包含项目名称、合同金额、签约时间、双方盖章等内容，否则不得分。</w:t>
            </w:r>
          </w:p>
        </w:tc>
        <w:tc>
          <w:tcPr>
            <w:tcW w:w="332" w:type="pct"/>
          </w:tcPr>
          <w:p w14:paraId="034D20C5">
            <w:pPr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14:paraId="17C88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99" w:type="pct"/>
            <w:vMerge w:val="continue"/>
            <w:vAlign w:val="center"/>
          </w:tcPr>
          <w:p w14:paraId="202685C6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</w:p>
        </w:tc>
        <w:tc>
          <w:tcPr>
            <w:tcW w:w="617" w:type="pct"/>
            <w:vAlign w:val="center"/>
          </w:tcPr>
          <w:p w14:paraId="736B30BC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售后服务</w:t>
            </w:r>
          </w:p>
          <w:p w14:paraId="50964585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（5分）</w:t>
            </w:r>
          </w:p>
        </w:tc>
        <w:tc>
          <w:tcPr>
            <w:tcW w:w="3550" w:type="pct"/>
            <w:vAlign w:val="center"/>
          </w:tcPr>
          <w:p w14:paraId="0F11DB47">
            <w:pPr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按照质保期及售后服务要求，比较售后服务方案进行评价。优秀的，得5分；良好的，3分；一般得1分；不提供得0分。</w:t>
            </w:r>
          </w:p>
        </w:tc>
        <w:tc>
          <w:tcPr>
            <w:tcW w:w="332" w:type="pct"/>
          </w:tcPr>
          <w:p w14:paraId="16693E06">
            <w:pPr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  <w:tr w14:paraId="5E10F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499" w:type="pct"/>
            <w:vAlign w:val="center"/>
          </w:tcPr>
          <w:p w14:paraId="7EE142EB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投报价</w:t>
            </w:r>
          </w:p>
          <w:p w14:paraId="06149DAC">
            <w:pPr>
              <w:jc w:val="center"/>
              <w:rPr>
                <w:rFonts w:eastAsia="仿宋_GB2312"/>
                <w:b/>
                <w:kern w:val="0"/>
                <w:sz w:val="24"/>
              </w:rPr>
            </w:pPr>
            <w:r>
              <w:rPr>
                <w:rFonts w:hint="eastAsia" w:eastAsia="仿宋_GB2312"/>
                <w:b/>
                <w:kern w:val="0"/>
                <w:sz w:val="24"/>
              </w:rPr>
              <w:t>（30分）</w:t>
            </w:r>
          </w:p>
        </w:tc>
        <w:tc>
          <w:tcPr>
            <w:tcW w:w="617" w:type="pct"/>
            <w:vAlign w:val="center"/>
          </w:tcPr>
          <w:p w14:paraId="756E7A08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投报价</w:t>
            </w:r>
          </w:p>
          <w:p w14:paraId="222DA0BE">
            <w:pPr>
              <w:jc w:val="center"/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（30分）</w:t>
            </w:r>
          </w:p>
        </w:tc>
        <w:tc>
          <w:tcPr>
            <w:tcW w:w="3550" w:type="pct"/>
            <w:vAlign w:val="center"/>
          </w:tcPr>
          <w:p w14:paraId="02F70CBB">
            <w:pPr>
              <w:rPr>
                <w:rFonts w:eastAsia="仿宋_GB2312"/>
                <w:bCs/>
                <w:kern w:val="0"/>
                <w:sz w:val="24"/>
              </w:rPr>
            </w:pPr>
            <w:r>
              <w:rPr>
                <w:rFonts w:hint="eastAsia" w:eastAsia="仿宋_GB2312"/>
                <w:bCs/>
                <w:kern w:val="0"/>
                <w:sz w:val="24"/>
              </w:rPr>
              <w:t>投报价得分＝（评审基准价/投报价）×价格分值（注：满足需求且投报价格最低的投报价为评审基准价。）最低报价不是中选的唯一依据。</w:t>
            </w:r>
          </w:p>
        </w:tc>
        <w:tc>
          <w:tcPr>
            <w:tcW w:w="332" w:type="pct"/>
          </w:tcPr>
          <w:p w14:paraId="38CCB476">
            <w:pPr>
              <w:jc w:val="left"/>
              <w:rPr>
                <w:rFonts w:eastAsia="仿宋_GB2312"/>
                <w:bCs/>
                <w:kern w:val="0"/>
                <w:sz w:val="24"/>
              </w:rPr>
            </w:pPr>
          </w:p>
        </w:tc>
      </w:tr>
    </w:tbl>
    <w:p w14:paraId="10EB3D2D">
      <w:pPr>
        <w:rPr>
          <w:rFonts w:asciiTheme="minorEastAsia" w:hAnsiTheme="minorEastAsia" w:eastAsiaTheme="minorEastAsia" w:cstheme="minorEastAsia"/>
          <w:b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32"/>
          <w:szCs w:val="32"/>
        </w:rPr>
        <w:t>附件2：遴选供应商评分标准</w:t>
      </w:r>
    </w:p>
    <w:p w14:paraId="204C4A1A">
      <w:pPr>
        <w:rPr>
          <w:rFonts w:eastAsia="仿宋_GB2312"/>
          <w:b/>
          <w:kern w:val="0"/>
          <w:sz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